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OLE_LINK1"/>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评创联动</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深入学习贯彻阐释习近平文化思想曲艺评论专题研讨暨培训班</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论文征集启事</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践行习近平文化思想，切实加强曲艺界对习近平文化思想的体系化研究、学理化阐述，有效指导曲艺创作和评论工作者深入生活、扎根人民，不断提升广大曲艺工作者的创作评论水平，在创作的基础上评论，在评论指导下创作，形成评创联动的积极态势，中国曲协、中国评协、山东省文联、聊城大学等拟于9月份在山东省聊城市茌平区举办“评创联动”——深入学习贯彻阐释习近平文化思想曲艺评论专题研讨暨培训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b w:val="0"/>
          <w:bCs w:val="0"/>
          <w:sz w:val="32"/>
          <w:szCs w:val="32"/>
          <w:lang w:val="en-US" w:eastAsia="zh-CN"/>
        </w:rPr>
        <w:t>、研讨主题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认真学习践行习近平文化思想，结合曲艺艺术发展实际，围绕“</w:t>
      </w:r>
      <w:r>
        <w:rPr>
          <w:rFonts w:hint="eastAsia" w:ascii="仿宋_GB2312" w:hAnsi="仿宋_GB2312" w:eastAsia="仿宋_GB2312" w:cs="仿宋_GB2312"/>
          <w:b/>
          <w:bCs/>
          <w:sz w:val="32"/>
          <w:szCs w:val="32"/>
          <w:lang w:val="en-US" w:eastAsia="zh-CN"/>
        </w:rPr>
        <w:t>深入学习贯彻阐释习近平文化思想，推动曲艺创作评论高质量发展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主题，</w:t>
      </w:r>
      <w:r>
        <w:rPr>
          <w:rFonts w:hint="eastAsia" w:ascii="仿宋_GB2312" w:hAnsi="仿宋_GB2312" w:eastAsia="仿宋_GB2312" w:cs="仿宋_GB2312"/>
          <w:sz w:val="32"/>
          <w:szCs w:val="32"/>
          <w:lang w:val="en-US" w:eastAsia="zh-CN"/>
        </w:rPr>
        <w:t>参考</w:t>
      </w:r>
      <w:r>
        <w:rPr>
          <w:rFonts w:hint="default" w:ascii="仿宋_GB2312" w:hAnsi="仿宋_GB2312" w:eastAsia="仿宋_GB2312" w:cs="仿宋_GB2312"/>
          <w:sz w:val="32"/>
          <w:szCs w:val="32"/>
          <w:lang w:val="en-US" w:eastAsia="zh-CN"/>
        </w:rPr>
        <w:t>以下议题或</w:t>
      </w:r>
      <w:r>
        <w:rPr>
          <w:rFonts w:hint="eastAsia" w:ascii="仿宋_GB2312" w:hAnsi="仿宋_GB2312" w:eastAsia="仿宋_GB2312" w:cs="仿宋_GB2312"/>
          <w:sz w:val="32"/>
          <w:szCs w:val="32"/>
          <w:lang w:val="en-US" w:eastAsia="zh-CN"/>
        </w:rPr>
        <w:t>围绕主题</w:t>
      </w:r>
      <w:r>
        <w:rPr>
          <w:rFonts w:hint="default" w:ascii="仿宋_GB2312" w:hAnsi="仿宋_GB2312" w:eastAsia="仿宋_GB2312" w:cs="仿宋_GB2312"/>
          <w:sz w:val="32"/>
          <w:szCs w:val="32"/>
          <w:lang w:val="en-US" w:eastAsia="zh-CN"/>
        </w:rPr>
        <w:t>自拟题目进行研讨：</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w:t>
      </w:r>
      <w:r>
        <w:rPr>
          <w:rFonts w:hint="default" w:ascii="仿宋_GB2312" w:eastAsia="仿宋_GB2312"/>
          <w:b w:val="0"/>
          <w:bCs w:val="0"/>
          <w:color w:val="auto"/>
          <w:sz w:val="32"/>
          <w:szCs w:val="32"/>
          <w:lang w:val="en-US" w:eastAsia="zh-CN"/>
        </w:rPr>
        <w:t>习近平文化传承理念与曲艺创作意识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2.曲艺作品中的中华美学精神传承</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3.曲艺创作评论联动机制的建构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4.构建有曲艺特色的评论话语体系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5.数字传播时代曲艺评论大众话语与专业话语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6.历史维度的曲艺评论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7.新时代曲艺创演的评价话语建设</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8.曲艺评论对西方文艺理论的借鉴转化</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9.曲艺评论如何引导曲艺创演讲好中国故事</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10.</w:t>
      </w:r>
      <w:r>
        <w:rPr>
          <w:rFonts w:hint="default" w:ascii="仿宋_GB2312" w:eastAsia="仿宋_GB2312"/>
          <w:b w:val="0"/>
          <w:bCs w:val="0"/>
          <w:color w:val="auto"/>
          <w:sz w:val="32"/>
          <w:szCs w:val="32"/>
          <w:lang w:val="en-US" w:eastAsia="zh-CN"/>
        </w:rPr>
        <w:t>曲艺</w:t>
      </w:r>
      <w:r>
        <w:rPr>
          <w:rFonts w:hint="eastAsia" w:ascii="仿宋_GB2312" w:eastAsia="仿宋_GB2312"/>
          <w:b w:val="0"/>
          <w:bCs w:val="0"/>
          <w:color w:val="auto"/>
          <w:sz w:val="32"/>
          <w:szCs w:val="32"/>
          <w:lang w:val="en-US" w:eastAsia="zh-CN"/>
        </w:rPr>
        <w:t>“</w:t>
      </w:r>
      <w:r>
        <w:rPr>
          <w:rFonts w:hint="default" w:ascii="仿宋_GB2312" w:eastAsia="仿宋_GB2312"/>
          <w:b w:val="0"/>
          <w:bCs w:val="0"/>
          <w:color w:val="auto"/>
          <w:sz w:val="32"/>
          <w:szCs w:val="32"/>
          <w:lang w:val="en-US" w:eastAsia="zh-CN"/>
        </w:rPr>
        <w:t>两创</w:t>
      </w:r>
      <w:r>
        <w:rPr>
          <w:rFonts w:hint="eastAsia" w:ascii="仿宋_GB2312" w:eastAsia="仿宋_GB2312"/>
          <w:b w:val="0"/>
          <w:bCs w:val="0"/>
          <w:color w:val="auto"/>
          <w:sz w:val="32"/>
          <w:szCs w:val="32"/>
          <w:lang w:val="en-US" w:eastAsia="zh-CN"/>
        </w:rPr>
        <w:t>”</w:t>
      </w:r>
      <w:r>
        <w:rPr>
          <w:rFonts w:hint="default" w:ascii="仿宋_GB2312" w:eastAsia="仿宋_GB2312"/>
          <w:b w:val="0"/>
          <w:bCs w:val="0"/>
          <w:color w:val="auto"/>
          <w:sz w:val="32"/>
          <w:szCs w:val="32"/>
          <w:lang w:val="en-US" w:eastAsia="zh-CN"/>
        </w:rPr>
        <w:t>的内涵与实践</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11.“</w:t>
      </w:r>
      <w:r>
        <w:rPr>
          <w:rFonts w:hint="default" w:ascii="仿宋_GB2312" w:eastAsia="仿宋_GB2312"/>
          <w:b w:val="0"/>
          <w:bCs w:val="0"/>
          <w:color w:val="auto"/>
          <w:sz w:val="32"/>
          <w:szCs w:val="32"/>
          <w:lang w:val="en-US" w:eastAsia="zh-CN"/>
        </w:rPr>
        <w:t>两个结合</w:t>
      </w:r>
      <w:r>
        <w:rPr>
          <w:rFonts w:hint="eastAsia" w:ascii="仿宋_GB2312" w:eastAsia="仿宋_GB2312"/>
          <w:b w:val="0"/>
          <w:bCs w:val="0"/>
          <w:color w:val="auto"/>
          <w:sz w:val="32"/>
          <w:szCs w:val="32"/>
          <w:lang w:val="en-US" w:eastAsia="zh-CN"/>
        </w:rPr>
        <w:t>”</w:t>
      </w:r>
      <w:r>
        <w:rPr>
          <w:rFonts w:hint="default" w:ascii="仿宋_GB2312" w:eastAsia="仿宋_GB2312"/>
          <w:b w:val="0"/>
          <w:bCs w:val="0"/>
          <w:color w:val="auto"/>
          <w:sz w:val="32"/>
          <w:szCs w:val="32"/>
          <w:lang w:val="en-US" w:eastAsia="zh-CN"/>
        </w:rPr>
        <w:t>与曲艺创演新使命</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12.</w:t>
      </w:r>
      <w:r>
        <w:rPr>
          <w:rFonts w:hint="default" w:ascii="仿宋_GB2312" w:eastAsia="仿宋_GB2312"/>
          <w:b w:val="0"/>
          <w:bCs w:val="0"/>
          <w:color w:val="auto"/>
          <w:sz w:val="32"/>
          <w:szCs w:val="32"/>
          <w:lang w:val="en-US" w:eastAsia="zh-CN"/>
        </w:rPr>
        <w:t>新大众文艺</w:t>
      </w:r>
      <w:r>
        <w:rPr>
          <w:rFonts w:hint="eastAsia" w:ascii="仿宋_GB2312" w:eastAsia="仿宋_GB2312"/>
          <w:b w:val="0"/>
          <w:bCs w:val="0"/>
          <w:color w:val="auto"/>
          <w:sz w:val="32"/>
          <w:szCs w:val="32"/>
          <w:lang w:val="en-US" w:eastAsia="zh-CN"/>
        </w:rPr>
        <w:t>的兴起</w:t>
      </w:r>
      <w:r>
        <w:rPr>
          <w:rFonts w:hint="default" w:ascii="仿宋_GB2312" w:eastAsia="仿宋_GB2312"/>
          <w:b w:val="0"/>
          <w:bCs w:val="0"/>
          <w:color w:val="auto"/>
          <w:sz w:val="32"/>
          <w:szCs w:val="32"/>
          <w:lang w:val="en-US" w:eastAsia="zh-CN"/>
        </w:rPr>
        <w:t>与曲艺</w:t>
      </w:r>
      <w:r>
        <w:rPr>
          <w:rFonts w:hint="eastAsia" w:ascii="仿宋_GB2312" w:eastAsia="仿宋_GB2312"/>
          <w:b w:val="0"/>
          <w:bCs w:val="0"/>
          <w:color w:val="auto"/>
          <w:sz w:val="32"/>
          <w:szCs w:val="32"/>
          <w:lang w:val="en-US" w:eastAsia="zh-CN"/>
        </w:rPr>
        <w:t>评论的突围</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13.新时代曲艺评论的大众话语构建</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14.网络时代曲艺评论的现代性伦理</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15.构建有生机有温度的创评生态</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16.曲艺评论的引领与再创作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17.信息化条件曲艺评论的批判性研究</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18.人工智能时代的曲艺创作批评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19.曲艺评论的困局与建设性反思</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20.曲艺评论的在场与传播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1.主办单位将组织专家对来稿进行评审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2.组织入围论文作者参加</w:t>
      </w:r>
      <w:r>
        <w:rPr>
          <w:rFonts w:hint="eastAsia" w:ascii="仿宋_GB2312" w:hAnsi="仿宋_GB2312" w:eastAsia="仿宋_GB2312" w:cs="仿宋_GB2312"/>
          <w:sz w:val="32"/>
          <w:szCs w:val="32"/>
          <w:lang w:val="en-US" w:eastAsia="zh-CN"/>
        </w:rPr>
        <w:t>专题研讨暨培训班；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3.评选优秀论文</w:t>
      </w:r>
      <w:r>
        <w:rPr>
          <w:rFonts w:hint="eastAsia" w:ascii="仿宋_GB2312" w:hAnsi="仿宋_GB2312" w:eastAsia="仿宋_GB2312" w:cs="仿宋_GB2312"/>
          <w:sz w:val="32"/>
          <w:szCs w:val="32"/>
          <w:lang w:val="en-US" w:eastAsia="zh-CN"/>
        </w:rPr>
        <w:t>进行研讨交流</w:t>
      </w:r>
      <w:r>
        <w:rPr>
          <w:rFonts w:hint="default" w:ascii="仿宋_GB2312" w:hAnsi="仿宋_GB2312" w:eastAsia="仿宋_GB2312" w:cs="仿宋_GB2312"/>
          <w:sz w:val="32"/>
          <w:szCs w:val="32"/>
          <w:lang w:val="en-US" w:eastAsia="zh-CN"/>
        </w:rPr>
        <w:t>；择优推荐在国家级社科类学术期刊</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相关媒体发表。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三、论文要求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1.论文须围绕研讨主题</w:t>
      </w:r>
      <w:r>
        <w:rPr>
          <w:rFonts w:hint="eastAsia" w:ascii="仿宋_GB2312" w:hAnsi="仿宋_GB2312" w:eastAsia="仿宋_GB2312" w:cs="仿宋_GB2312"/>
          <w:sz w:val="32"/>
          <w:szCs w:val="32"/>
          <w:lang w:val="en-US" w:eastAsia="zh-CN"/>
        </w:rPr>
        <w:t>展开</w:t>
      </w:r>
      <w:r>
        <w:rPr>
          <w:rFonts w:hint="default" w:ascii="仿宋_GB2312" w:hAnsi="仿宋_GB2312" w:eastAsia="仿宋_GB2312" w:cs="仿宋_GB2312"/>
          <w:sz w:val="32"/>
          <w:szCs w:val="32"/>
          <w:lang w:val="en-US" w:eastAsia="zh-CN"/>
        </w:rPr>
        <w:t>，选题要结合曲艺</w:t>
      </w:r>
      <w:r>
        <w:rPr>
          <w:rFonts w:hint="eastAsia" w:ascii="仿宋_GB2312" w:hAnsi="仿宋_GB2312" w:eastAsia="仿宋_GB2312" w:cs="仿宋_GB2312"/>
          <w:sz w:val="32"/>
          <w:szCs w:val="32"/>
          <w:lang w:val="en-US" w:eastAsia="zh-CN"/>
        </w:rPr>
        <w:t>创作评论</w:t>
      </w:r>
      <w:r>
        <w:rPr>
          <w:rFonts w:hint="default" w:ascii="仿宋_GB2312" w:hAnsi="仿宋_GB2312" w:eastAsia="仿宋_GB2312" w:cs="仿宋_GB2312"/>
          <w:sz w:val="32"/>
          <w:szCs w:val="32"/>
          <w:lang w:val="en-US" w:eastAsia="zh-CN"/>
        </w:rPr>
        <w:t>现状，体现时代性，把握规律性，具有前瞻性</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2.论文应结构严谨，逻辑清晰，具有较高的理论价值和学术研究价值，避免资料汇编、经验自述或一般性介绍文章。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3.论文须</w:t>
      </w:r>
      <w:r>
        <w:rPr>
          <w:rFonts w:hint="eastAsia" w:ascii="仿宋_GB2312" w:hAnsi="仿宋_GB2312" w:eastAsia="仿宋_GB2312" w:cs="仿宋_GB2312"/>
          <w:sz w:val="32"/>
          <w:szCs w:val="32"/>
          <w:lang w:val="en-US" w:eastAsia="zh-CN"/>
        </w:rPr>
        <w:t>为原创文章，未在报刊及网络媒体公开发表</w:t>
      </w:r>
      <w:r>
        <w:rPr>
          <w:rFonts w:hint="default" w:ascii="仿宋_GB2312" w:hAnsi="仿宋_GB2312" w:eastAsia="仿宋_GB2312" w:cs="仿宋_GB2312"/>
          <w:sz w:val="32"/>
          <w:szCs w:val="32"/>
          <w:lang w:val="en-US" w:eastAsia="zh-CN"/>
        </w:rPr>
        <w:t>，杜绝剽窃抄袭，无著作权纠纷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4.论文篇幅在4000字至6000字，按照“论文格式要求”进行排版。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四、投稿要求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1.方式一：请将论文</w:t>
      </w:r>
      <w:r>
        <w:rPr>
          <w:rFonts w:hint="eastAsia" w:ascii="仿宋_GB2312" w:hAnsi="仿宋_GB2312" w:eastAsia="仿宋_GB2312" w:cs="仿宋_GB2312"/>
          <w:sz w:val="32"/>
          <w:szCs w:val="32"/>
          <w:lang w:val="en-US" w:eastAsia="zh-CN"/>
        </w:rPr>
        <w:t>及</w:t>
      </w:r>
      <w:r>
        <w:rPr>
          <w:rFonts w:hint="default" w:ascii="仿宋_GB2312" w:hAnsi="仿宋_GB2312" w:eastAsia="仿宋_GB2312" w:cs="仿宋_GB2312"/>
          <w:sz w:val="32"/>
          <w:szCs w:val="32"/>
          <w:lang w:val="en-US" w:eastAsia="zh-CN"/>
        </w:rPr>
        <w:t>《“评创联动”——深入学习贯彻阐释习近平文化思想曲艺评论专题研讨暨培训班论文登记表》（见附件1）</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"mailto:将两份文件的电子版发送至指定电子邮箱（quyiyishuzhongxin@163.com），以附件形式发送，邮件\“主题\”注明\“第四届全国曲艺理论学术研讨会+作者姓名\”。"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两份文件的电子版发送至指定电子邮箱（quyizhongxinjpch@163.com），以附件形式发送，邮件“主题”注明“</w:t>
      </w:r>
      <w:r>
        <w:rPr>
          <w:rFonts w:hint="default" w:ascii="仿宋_GB2312" w:hAnsi="仿宋_GB2312" w:eastAsia="仿宋_GB2312" w:cs="仿宋_GB2312"/>
          <w:sz w:val="32"/>
          <w:szCs w:val="32"/>
          <w:lang w:val="en-US" w:eastAsia="zh-CN"/>
        </w:rPr>
        <w:t>评创联动</w:t>
      </w:r>
      <w:r>
        <w:rPr>
          <w:rFonts w:hint="eastAsia" w:ascii="仿宋_GB2312" w:hAnsi="仿宋_GB2312" w:eastAsia="仿宋_GB2312" w:cs="仿宋_GB2312"/>
          <w:sz w:val="32"/>
          <w:szCs w:val="32"/>
          <w:lang w:val="en-US" w:eastAsia="zh-CN"/>
        </w:rPr>
        <w:t>+作者姓名”。</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2.方式二：将两份文件的纸质版寄送至中国文联曲艺艺术中心</w:t>
      </w:r>
      <w:r>
        <w:rPr>
          <w:rFonts w:hint="eastAsia" w:ascii="仿宋_GB2312" w:hAnsi="仿宋_GB2312" w:eastAsia="仿宋_GB2312" w:cs="仿宋_GB2312"/>
          <w:sz w:val="32"/>
          <w:szCs w:val="32"/>
          <w:lang w:val="en-US" w:eastAsia="zh-CN"/>
        </w:rPr>
        <w:t>教育培训处（</w:t>
      </w:r>
      <w:r>
        <w:rPr>
          <w:rFonts w:hint="default" w:ascii="仿宋_GB2312" w:hAnsi="仿宋_GB2312" w:eastAsia="仿宋_GB2312" w:cs="仿宋_GB2312"/>
          <w:sz w:val="32"/>
          <w:szCs w:val="32"/>
          <w:lang w:val="en-US" w:eastAsia="zh-CN"/>
        </w:rPr>
        <w:t>专委会工作处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以上两种投稿方式可任选其一，建议用方式一。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3.所有稿件均不退回，请自留底稿。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4.论文征集截止日期为202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地址：北京</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朝阳区北沙滩1号院32号楼A座606</w:t>
      </w:r>
      <w:r>
        <w:rPr>
          <w:rFonts w:hint="eastAsia" w:ascii="仿宋_GB2312" w:hAnsi="仿宋_GB2312" w:eastAsia="仿宋_GB2312" w:cs="仿宋_GB2312"/>
          <w:sz w:val="32"/>
          <w:szCs w:val="32"/>
          <w:lang w:val="en-US" w:eastAsia="zh-CN"/>
        </w:rPr>
        <w:t>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邮编：100083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联系人及电话：</w:t>
      </w:r>
      <w:r>
        <w:rPr>
          <w:rFonts w:hint="eastAsia" w:ascii="仿宋_GB2312" w:hAnsi="仿宋_GB2312" w:eastAsia="仿宋_GB2312" w:cs="仿宋_GB2312"/>
          <w:sz w:val="32"/>
          <w:szCs w:val="32"/>
          <w:lang w:val="en-US" w:eastAsia="zh-CN"/>
        </w:rPr>
        <w:t xml:space="preserve">段漉希 </w:t>
      </w:r>
      <w:r>
        <w:rPr>
          <w:rFonts w:hint="default" w:ascii="仿宋_GB2312" w:hAnsi="仿宋_GB2312" w:eastAsia="仿宋_GB2312" w:cs="仿宋_GB2312"/>
          <w:sz w:val="32"/>
          <w:szCs w:val="32"/>
          <w:lang w:val="en-US" w:eastAsia="zh-CN"/>
        </w:rPr>
        <w:t>刘红英</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010-59759717</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评创联动”——深入学习贯彻阐释习近平文化思</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想曲艺评论专题研讨暨培训班论文登记表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论文格式要求</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0" w:firstLineChars="0"/>
        <w:jc w:val="both"/>
        <w:textAlignment w:val="auto"/>
        <w:outlineLvl w:val="9"/>
        <w:rPr>
          <w:rFonts w:hint="default" w:ascii="黑体" w:hAnsi="宋体" w:eastAsia="黑体" w:cs="黑体"/>
          <w:color w:val="000000"/>
          <w:kern w:val="0"/>
          <w:sz w:val="31"/>
          <w:szCs w:val="3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0" w:firstLineChars="0"/>
        <w:jc w:val="both"/>
        <w:textAlignment w:val="auto"/>
        <w:outlineLvl w:val="9"/>
        <w:rPr>
          <w:rFonts w:hint="default" w:ascii="黑体" w:hAnsi="宋体" w:eastAsia="黑体" w:cs="黑体"/>
          <w:color w:val="000000"/>
          <w:kern w:val="0"/>
          <w:sz w:val="31"/>
          <w:szCs w:val="3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0" w:firstLineChars="0"/>
        <w:jc w:val="both"/>
        <w:textAlignment w:val="auto"/>
        <w:outlineLvl w:val="9"/>
        <w:rPr>
          <w:rFonts w:hint="default" w:ascii="黑体" w:hAnsi="宋体" w:eastAsia="黑体" w:cs="黑体"/>
          <w:color w:val="000000"/>
          <w:kern w:val="0"/>
          <w:sz w:val="31"/>
          <w:szCs w:val="3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0" w:firstLineChars="0"/>
        <w:jc w:val="both"/>
        <w:textAlignment w:val="auto"/>
        <w:outlineLvl w:val="9"/>
        <w:rPr>
          <w:rFonts w:hint="default" w:ascii="黑体" w:hAnsi="宋体" w:eastAsia="黑体" w:cs="黑体"/>
          <w:color w:val="000000"/>
          <w:kern w:val="0"/>
          <w:sz w:val="31"/>
          <w:szCs w:val="31"/>
          <w:lang w:val="en-US" w:eastAsia="zh-CN" w:bidi="ar"/>
        </w:rPr>
      </w:pP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0" w:firstLineChars="0"/>
        <w:jc w:val="both"/>
        <w:textAlignment w:val="auto"/>
        <w:outlineLvl w:val="9"/>
        <w:rPr>
          <w:rFonts w:hint="default" w:ascii="黑体" w:hAnsi="宋体" w:eastAsia="黑体" w:cs="黑体"/>
          <w:color w:val="000000"/>
          <w:kern w:val="0"/>
          <w:sz w:val="31"/>
          <w:szCs w:val="3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0" w:firstLineChars="0"/>
        <w:jc w:val="both"/>
        <w:textAlignment w:val="auto"/>
        <w:outlineLvl w:val="9"/>
        <w:rPr>
          <w:rFonts w:hint="default" w:ascii="黑体" w:hAnsi="宋体" w:eastAsia="黑体" w:cs="黑体"/>
          <w:color w:val="000000"/>
          <w:kern w:val="0"/>
          <w:sz w:val="31"/>
          <w:szCs w:val="31"/>
          <w:lang w:val="en-US" w:eastAsia="zh-CN" w:bidi="ar"/>
        </w:rPr>
      </w:pPr>
      <w:r>
        <w:rPr>
          <w:rFonts w:hint="default" w:ascii="黑体" w:hAnsi="宋体" w:eastAsia="黑体" w:cs="黑体"/>
          <w:color w:val="000000"/>
          <w:kern w:val="0"/>
          <w:sz w:val="31"/>
          <w:szCs w:val="31"/>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bCs/>
          <w:sz w:val="44"/>
          <w:szCs w:val="44"/>
          <w:lang w:eastAsia="zh-CN"/>
        </w:rPr>
      </w:pPr>
      <w:r>
        <w:rPr>
          <w:rFonts w:hint="eastAsia" w:ascii="方正小标宋简体" w:eastAsia="方正小标宋简体"/>
          <w:bCs/>
          <w:spacing w:val="-11"/>
          <w:sz w:val="44"/>
          <w:szCs w:val="44"/>
          <w:lang w:val="en-US" w:eastAsia="zh-CN"/>
        </w:rPr>
        <w:t>“评创联动”——深入学习贯彻阐释习近平文化</w:t>
      </w:r>
      <w:r>
        <w:rPr>
          <w:rFonts w:hint="eastAsia" w:ascii="方正小标宋简体" w:eastAsia="方正小标宋简体"/>
          <w:bCs/>
          <w:sz w:val="44"/>
          <w:szCs w:val="44"/>
          <w:lang w:val="en-US" w:eastAsia="zh-CN"/>
        </w:rPr>
        <w:t>思想曲艺评论专题研讨暨培训班论文登记表</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30"/>
        <w:gridCol w:w="1736"/>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2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论文名称</w:t>
            </w:r>
          </w:p>
        </w:tc>
        <w:tc>
          <w:tcPr>
            <w:tcW w:w="6898" w:type="dxa"/>
            <w:gridSpan w:val="3"/>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作者姓名</w:t>
            </w:r>
          </w:p>
        </w:tc>
        <w:tc>
          <w:tcPr>
            <w:tcW w:w="2730"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p>
        </w:tc>
        <w:tc>
          <w:tcPr>
            <w:tcW w:w="1736"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    名</w:t>
            </w:r>
          </w:p>
        </w:tc>
        <w:tc>
          <w:tcPr>
            <w:tcW w:w="2432"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62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    别</w:t>
            </w:r>
          </w:p>
        </w:tc>
        <w:tc>
          <w:tcPr>
            <w:tcW w:w="2730"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p>
        </w:tc>
        <w:tc>
          <w:tcPr>
            <w:tcW w:w="1736"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   族</w:t>
            </w:r>
          </w:p>
        </w:tc>
        <w:tc>
          <w:tcPr>
            <w:tcW w:w="2432"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62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工作单位</w:t>
            </w:r>
          </w:p>
        </w:tc>
        <w:tc>
          <w:tcPr>
            <w:tcW w:w="6898" w:type="dxa"/>
            <w:gridSpan w:val="3"/>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62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    务</w:t>
            </w:r>
          </w:p>
        </w:tc>
        <w:tc>
          <w:tcPr>
            <w:tcW w:w="2730"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p>
        </w:tc>
        <w:tc>
          <w:tcPr>
            <w:tcW w:w="1736"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    称</w:t>
            </w:r>
          </w:p>
        </w:tc>
        <w:tc>
          <w:tcPr>
            <w:tcW w:w="2432"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62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tc>
        <w:tc>
          <w:tcPr>
            <w:tcW w:w="6898" w:type="dxa"/>
            <w:gridSpan w:val="3"/>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162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自选议题</w:t>
            </w:r>
          </w:p>
        </w:tc>
        <w:tc>
          <w:tcPr>
            <w:tcW w:w="6898" w:type="dxa"/>
            <w:gridSpan w:val="3"/>
            <w:noWrap w:val="0"/>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（没有选择参考议题的填写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62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    注</w:t>
            </w:r>
          </w:p>
        </w:tc>
        <w:tc>
          <w:tcPr>
            <w:tcW w:w="6898" w:type="dxa"/>
            <w:gridSpan w:val="3"/>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黑体" w:hAnsi="宋体" w:eastAsia="黑体" w:cs="黑体"/>
          <w:color w:val="000000"/>
          <w:kern w:val="0"/>
          <w:sz w:val="31"/>
          <w:szCs w:val="3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黑体" w:hAnsi="宋体" w:eastAsia="黑体" w:cs="黑体"/>
          <w:color w:val="000000"/>
          <w:kern w:val="0"/>
          <w:sz w:val="31"/>
          <w:szCs w:val="3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黑体" w:hAnsi="宋体" w:eastAsia="黑体" w:cs="黑体"/>
          <w:color w:val="000000"/>
          <w:kern w:val="0"/>
          <w:sz w:val="31"/>
          <w:szCs w:val="3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方正小标宋简体" w:hAnsi="方正小标宋简体" w:eastAsia="方正小标宋简体" w:cs="方正小标宋简体"/>
          <w:sz w:val="44"/>
          <w:szCs w:val="44"/>
        </w:rPr>
        <w:t>论文格式要求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1.页边距：上40mm，下30mm，左35mm，右35mm。</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字体字号：标题使用2号方正小标宋简体；标题下一行注明作者、单位、联系方式，3号楷体；作者单位联系方式下空一行为正文，正文3号仿宋，结构层次，第一层为“一、”3号黑体，第二层为“（一）”3号楷体，第三层为“１．”，第四层为“（１）”，均为3号仿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3.行间距：固定值28磅。</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4.须在页脚标明页码，格式为“1”，居中。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5.文章中的数字，除部分结构层次序数和词、词组、惯用语、缩略语、具有修辞色彩语句中作为词素的数字必须使用汉字外，应当使用阿拉伯数字。</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6.文章引文应用引号标明。</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7.文章注释皆采用脚注形式，须用数字加圆圈进行标注，如①、②…，字体使用5号宋体，行间距为固定值20磅。注文若为著作，样式为，作者：专著名，出版社，出版年，第×页。注文若为期刊文章，样式为，作者：文章名，刊名，期号，第×页。</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8.如有参考文献，须在正文后另起一页列明，参考文献标题居中，使用3号黑体，参考文献序号左顶格，并用数字加方括号表示，如[1]、[2]…，字体使用5号宋体，行间距为固定值20磅，样式为，作者：专著名，出版社，出版年，第×页。</w:t>
      </w:r>
    </w:p>
    <w:sectPr>
      <w:footerReference r:id="rId3" w:type="default"/>
      <w:pgSz w:w="11906" w:h="16838"/>
      <w:pgMar w:top="2098" w:right="1531"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73920"/>
    <w:rsid w:val="00A41184"/>
    <w:rsid w:val="016D6AC7"/>
    <w:rsid w:val="028458A5"/>
    <w:rsid w:val="05852631"/>
    <w:rsid w:val="0EE26D46"/>
    <w:rsid w:val="132F31AD"/>
    <w:rsid w:val="138A1694"/>
    <w:rsid w:val="1D982682"/>
    <w:rsid w:val="21F726B1"/>
    <w:rsid w:val="2446522A"/>
    <w:rsid w:val="274C7976"/>
    <w:rsid w:val="28AF5589"/>
    <w:rsid w:val="2B92295A"/>
    <w:rsid w:val="2BCF3B96"/>
    <w:rsid w:val="347B0F20"/>
    <w:rsid w:val="37A3297B"/>
    <w:rsid w:val="3C277297"/>
    <w:rsid w:val="3D69400B"/>
    <w:rsid w:val="3E894F7B"/>
    <w:rsid w:val="40110885"/>
    <w:rsid w:val="423F6228"/>
    <w:rsid w:val="43067B7C"/>
    <w:rsid w:val="4AC53816"/>
    <w:rsid w:val="4E9F6F34"/>
    <w:rsid w:val="5175627D"/>
    <w:rsid w:val="52CF1AB1"/>
    <w:rsid w:val="53F73920"/>
    <w:rsid w:val="54492049"/>
    <w:rsid w:val="5FDF3AB5"/>
    <w:rsid w:val="63935022"/>
    <w:rsid w:val="65850CB8"/>
    <w:rsid w:val="694D5CE0"/>
    <w:rsid w:val="6B855C05"/>
    <w:rsid w:val="6F0918C4"/>
    <w:rsid w:val="70F133F4"/>
    <w:rsid w:val="72303324"/>
    <w:rsid w:val="72341A35"/>
    <w:rsid w:val="77CB499F"/>
    <w:rsid w:val="7C3C0AB4"/>
    <w:rsid w:val="7EEA6053"/>
    <w:rsid w:val="7F1B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1784</Words>
  <Characters>1911</Characters>
  <Lines>0</Lines>
  <Paragraphs>0</Paragraphs>
  <TotalTime>24</TotalTime>
  <ScaleCrop>false</ScaleCrop>
  <LinksUpToDate>false</LinksUpToDate>
  <CharactersWithSpaces>1939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2025-06-11T03:16:00Z</dcterms:created>
  <dc:creator>爱吃鱼的麦兜迩</dc:creator>
  <cp:lastModifiedBy>QY1</cp:lastModifiedBy>
  <cp:lastPrinted>2025-06-17T08:52:00Z</cp:lastPrinted>
  <dcterms:modified xsi:type="dcterms:W3CDTF">2025-06-30T00:25:55Z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F267A77214A144F796F931B8AEB9C1C7_11</vt:lpwstr>
  </property>
  <property fmtid="{D5CDD505-2E9C-101B-9397-08002B2CF9AE}" pid="4" name="KSOTemplateDocerSaveRecord">
    <vt:lpwstr>eyJoZGlkIjoiYzM1MTc2ZTZlNzhhMzM0ZWQwMjQ2ZmY3N2Y4ODFjOGUiLCJ1c2VySWQiOiIzMDIwMDQxNzkifQ==</vt:lpwstr>
  </property>
</Properties>
</file>